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80"/>
        <w:jc w:val="start"/>
        <w:rPr/>
      </w:pPr>
      <w:r>
        <w:rPr>
          <w:rFonts w:eastAsia="Arial" w:cs="Arial"/>
          <w:b/>
          <w:bCs/>
          <w:color w:val="1F3864"/>
          <w:sz w:val="40"/>
          <w:szCs w:val="40"/>
        </w:rPr>
        <w:t>Literaturverzeichnis</w:t>
      </w:r>
    </w:p>
    <w:p>
      <w:pPr>
        <w:pStyle w:val="Normal"/>
        <w:spacing w:before="0" w:after="60"/>
        <w:rPr/>
      </w:pPr>
      <w:r>
        <w:rPr>
          <w:rFonts w:eastAsia="Arial" w:cs="Arial"/>
          <w:i/>
          <w:iCs/>
          <w:color w:val="444444"/>
          <w:sz w:val="26"/>
          <w:szCs w:val="26"/>
        </w:rPr>
        <w:t>Die Stille Emergenz</w:t>
      </w:r>
    </w:p>
    <w:p>
      <w:pPr>
        <w:pStyle w:val="Normal"/>
        <w:pBdr>
          <w:bottom w:val="single" w:sz="10" w:space="8" w:color="1F3864"/>
        </w:pBdr>
        <w:spacing w:before="0" w:after="480"/>
        <w:rPr/>
      </w:pPr>
      <w:r>
        <w:rPr>
          <w:rFonts w:eastAsia="Arial" w:cs="Arial"/>
          <w:color w:val="888888"/>
          <w:sz w:val="22"/>
          <w:szCs w:val="22"/>
        </w:rPr>
        <w:t>Primäre und implizite Referenzen</w:t>
      </w:r>
    </w:p>
    <w:p>
      <w:pPr>
        <w:pStyle w:val="Heading1"/>
        <w:pBdr>
          <w:bottom w:val="single" w:sz="6" w:space="4" w:color="1F386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F3864"/>
          <w:sz w:val="26"/>
          <w:szCs w:val="26"/>
        </w:rPr>
        <w:t>1. Philosophie des Geistes &amp; Bewusstseinsforschung</w:t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Chalmers, David J.</w:t>
      </w:r>
      <w:r>
        <w:rPr>
          <w:rFonts w:eastAsia="Arial" w:cs="Arial"/>
          <w:i w:val="false"/>
          <w:iCs w:val="false"/>
          <w:sz w:val="22"/>
          <w:szCs w:val="22"/>
        </w:rPr>
        <w:t xml:space="preserve"> The Conscious Mind: In Search of a Fundamental Theory (1996)</w:t>
      </w:r>
      <w:r>
        <w:rPr>
          <w:rFonts w:eastAsia="Arial" w:cs="Arial"/>
          <w:color w:val="555555"/>
          <w:sz w:val="20"/>
          <w:szCs w:val="20"/>
        </w:rPr>
        <w:t xml:space="preserve"> Pragte den Begriff des 'Hard Problem of Consciousness' (1995). Zentrale Referenz fuer die erkenntnistheoretische Grenze jeder mechanistischen Bewusstseinstheorie.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Dennett, Daniel C.</w:t>
      </w:r>
      <w:r>
        <w:rPr>
          <w:rFonts w:eastAsia="Arial" w:cs="Arial"/>
          <w:i w:val="false"/>
          <w:iCs w:val="false"/>
          <w:sz w:val="22"/>
          <w:szCs w:val="22"/>
        </w:rPr>
        <w:t xml:space="preserve"> Darwin's Dangerous Idea (1995) Consciousness Explained (1991)</w:t>
      </w:r>
      <w:r>
        <w:rPr>
          <w:rFonts w:eastAsia="Arial" w:cs="Arial"/>
          <w:color w:val="555555"/>
          <w:sz w:val="20"/>
          <w:szCs w:val="20"/>
        </w:rPr>
        <w:t xml:space="preserve"> Theoretiker des universellen Darwinismus und eliminativer Materialist. Seine Konzeption von Evolution als Meta-Algorithmus ist grundlegend für die Emergenzthese.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Searle, John R.</w:t>
      </w:r>
      <w:r>
        <w:rPr>
          <w:rFonts w:eastAsia="Arial" w:cs="Arial"/>
          <w:i w:val="false"/>
          <w:iCs w:val="false"/>
          <w:sz w:val="22"/>
          <w:szCs w:val="22"/>
        </w:rPr>
        <w:t xml:space="preserve"> Minds, Brains, and Programs (1980) The Rediscovery of the Mind (1992)</w:t>
      </w:r>
      <w:r>
        <w:rPr>
          <w:rFonts w:eastAsia="Arial" w:cs="Arial"/>
          <w:color w:val="555555"/>
          <w:sz w:val="20"/>
          <w:szCs w:val="20"/>
        </w:rPr>
        <w:t xml:space="preserve"> Unterscheidung von starker und schwacher KI; epistemische vs. ontologische Reduktion von Bewusstsein.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Nagel, Thomas *</w:t>
      </w:r>
      <w:r>
        <w:rPr>
          <w:rFonts w:eastAsia="Arial" w:cs="Arial"/>
          <w:i w:val="false"/>
          <w:iCs w:val="false"/>
          <w:sz w:val="22"/>
          <w:szCs w:val="22"/>
        </w:rPr>
        <w:t xml:space="preserve"> What Is It Like to Be a Bat? (1974)</w:t>
      </w:r>
      <w:r>
        <w:rPr>
          <w:rFonts w:eastAsia="Arial" w:cs="Arial"/>
          <w:color w:val="555555"/>
          <w:sz w:val="20"/>
          <w:szCs w:val="20"/>
        </w:rPr>
        <w:t xml:space="preserve"> Grundlegendes Argument für die Irreduzibilität subjektiven Erlebens auf physikalische Beschreibungen. Implizit präsent in der Qualia-Diskussion.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Maturana, Humberto R. / Varela, Francisco J. *</w:t>
      </w:r>
      <w:r>
        <w:rPr>
          <w:rFonts w:eastAsia="Arial" w:cs="Arial"/>
          <w:i w:val="false"/>
          <w:iCs w:val="false"/>
          <w:sz w:val="22"/>
          <w:szCs w:val="22"/>
        </w:rPr>
        <w:t xml:space="preserve"> Autopoiesis and Cognition (1980) The Tree of Knowledge (1987)</w:t>
      </w:r>
      <w:r>
        <w:rPr>
          <w:rFonts w:eastAsia="Arial" w:cs="Arial"/>
          <w:color w:val="555555"/>
          <w:sz w:val="20"/>
          <w:szCs w:val="20"/>
        </w:rPr>
        <w:t xml:space="preserve"> Konzept der Autopoiese — selbsterzeugende, operational geschlossene Systeme — liegt der Beschreibung von Kohärenz als selbsterhaltendem Informationsmuster implizit zugrunde.</w:t>
      </w:r>
    </w:p>
    <w:p>
      <w:pPr>
        <w:pStyle w:val="Normal"/>
        <w:spacing w:before="60" w:after="60"/>
        <w:rPr/>
      </w:pPr>
      <w:r>
        <w:rPr/>
      </w:r>
    </w:p>
    <w:p>
      <w:pPr>
        <w:pStyle w:val="Heading1"/>
        <w:pBdr>
          <w:bottom w:val="single" w:sz="6" w:space="4" w:color="1F386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F3864"/>
          <w:sz w:val="26"/>
          <w:szCs w:val="26"/>
        </w:rPr>
        <w:t>2. Neurowissenschaften</w:t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Koch, Christof</w:t>
      </w:r>
      <w:r>
        <w:rPr>
          <w:rFonts w:eastAsia="Arial" w:cs="Arial"/>
          <w:i w:val="false"/>
          <w:iCs w:val="false"/>
          <w:sz w:val="22"/>
          <w:szCs w:val="22"/>
        </w:rPr>
        <w:t xml:space="preserve"> The Feeling of Life Itself (2019) Consciousness: Confessions of a Romantic Reductionist (2012)</w:t>
      </w:r>
      <w:r>
        <w:rPr>
          <w:rFonts w:eastAsia="Arial" w:cs="Arial"/>
          <w:color w:val="555555"/>
          <w:sz w:val="20"/>
          <w:szCs w:val="20"/>
        </w:rPr>
        <w:t xml:space="preserve"> Bewusstsein als systemische Eigenschaft hochintegrierter Informationsverarbeitung, nicht als Eigenschaft einzelner Neuronen.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Crick, Francis</w:t>
      </w:r>
      <w:r>
        <w:rPr>
          <w:rFonts w:eastAsia="Arial" w:cs="Arial"/>
          <w:i w:val="false"/>
          <w:iCs w:val="false"/>
          <w:sz w:val="22"/>
          <w:szCs w:val="22"/>
        </w:rPr>
        <w:t xml:space="preserve"> The Astonishing Hypothesis (1994)</w:t>
      </w:r>
      <w:r>
        <w:rPr>
          <w:rFonts w:eastAsia="Arial" w:cs="Arial"/>
          <w:color w:val="555555"/>
          <w:sz w:val="20"/>
          <w:szCs w:val="20"/>
        </w:rPr>
        <w:t xml:space="preserve"> Hypothese zur Emergenz von Bewusstsein aus synchroner neuronaler Netzwerkaktivierung im ~40-Hz-Bereich.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Tononi, Giulio</w:t>
      </w:r>
      <w:r>
        <w:rPr>
          <w:rFonts w:eastAsia="Arial" w:cs="Arial"/>
          <w:i w:val="false"/>
          <w:iCs w:val="false"/>
          <w:sz w:val="22"/>
          <w:szCs w:val="22"/>
        </w:rPr>
        <w:t xml:space="preserve"> Phi: A Voyage from the Brain to the Soul (2012)</w:t>
      </w:r>
      <w:r>
        <w:rPr>
          <w:rFonts w:eastAsia="Arial" w:cs="Arial"/>
          <w:color w:val="555555"/>
          <w:sz w:val="20"/>
          <w:szCs w:val="20"/>
        </w:rPr>
        <w:t xml:space="preserve"> Integrated Information Theory (IIT); mathematische Größe Φ (Phi) als Maß für integrierte Information und Bewusstseinsniveau. Impliziert minimalen Panpsychismus.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Baars, Bernard J.</w:t>
      </w:r>
      <w:r>
        <w:rPr>
          <w:rFonts w:eastAsia="Arial" w:cs="Arial"/>
          <w:i w:val="false"/>
          <w:iCs w:val="false"/>
          <w:sz w:val="22"/>
          <w:szCs w:val="22"/>
        </w:rPr>
        <w:t xml:space="preserve"> A Cognitive Theory of Consciousness (1988)</w:t>
      </w:r>
      <w:r>
        <w:rPr>
          <w:rFonts w:eastAsia="Arial" w:cs="Arial"/>
          <w:color w:val="555555"/>
          <w:sz w:val="20"/>
          <w:szCs w:val="20"/>
        </w:rPr>
        <w:t xml:space="preserve"> Global Workspace Theory: Bewusstsein als selektive Projektion auf eine 'globale Buehne', die verschiedenen Gehirnregionen Zugang ermoeglicht.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Friston, Karl *</w:t>
      </w:r>
      <w:r>
        <w:rPr>
          <w:rFonts w:eastAsia="Arial" w:cs="Arial"/>
          <w:i w:val="false"/>
          <w:iCs w:val="false"/>
          <w:sz w:val="22"/>
          <w:szCs w:val="22"/>
        </w:rPr>
        <w:t xml:space="preserve"> The free-energy principle: a unified brain theory? (2010)</w:t>
      </w:r>
      <w:r>
        <w:rPr>
          <w:rFonts w:eastAsia="Arial" w:cs="Arial"/>
          <w:color w:val="555555"/>
          <w:sz w:val="20"/>
          <w:szCs w:val="20"/>
        </w:rPr>
        <w:t xml:space="preserve"> Free-Energy-Prinzip als vereinheitlichende Theorie neuronaler Selbstorganisation. Implizit relevant für die Modellierung von Emergenz als Entropie-Minimierung.</w:t>
      </w:r>
    </w:p>
    <w:p>
      <w:pPr>
        <w:pStyle w:val="Normal"/>
        <w:spacing w:before="60" w:after="60"/>
        <w:rPr/>
      </w:pPr>
      <w:r>
        <w:rPr/>
      </w:r>
    </w:p>
    <w:p>
      <w:pPr>
        <w:pStyle w:val="Heading1"/>
        <w:pBdr>
          <w:bottom w:val="single" w:sz="6" w:space="4" w:color="1F386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F3864"/>
          <w:sz w:val="26"/>
          <w:szCs w:val="26"/>
        </w:rPr>
        <w:t>3. Biologie, Evolution &amp; Komplexitätstheorie</w:t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Darwin, Charles</w:t>
      </w:r>
      <w:r>
        <w:rPr>
          <w:rFonts w:eastAsia="Arial" w:cs="Arial"/>
          <w:i w:val="false"/>
          <w:iCs w:val="false"/>
          <w:sz w:val="22"/>
          <w:szCs w:val="22"/>
        </w:rPr>
        <w:t xml:space="preserve"> On the Origin of Species (1859)</w:t>
      </w:r>
      <w:r>
        <w:rPr>
          <w:rFonts w:eastAsia="Arial" w:cs="Arial"/>
          <w:color w:val="555555"/>
          <w:sz w:val="20"/>
          <w:szCs w:val="20"/>
        </w:rPr>
        <w:t xml:space="preserve"> Grundlagenwerk der natürlichen Selektion; Evolution als blinder, zielfreier Algorithmus.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Dawkins, Richard</w:t>
      </w:r>
      <w:r>
        <w:rPr>
          <w:rFonts w:eastAsia="Arial" w:cs="Arial"/>
          <w:i w:val="false"/>
          <w:iCs w:val="false"/>
          <w:sz w:val="22"/>
          <w:szCs w:val="22"/>
        </w:rPr>
        <w:t xml:space="preserve"> The Selfish Gene (1976) The Extended Phenotype (1982)</w:t>
      </w:r>
      <w:r>
        <w:rPr>
          <w:rFonts w:eastAsia="Arial" w:cs="Arial"/>
          <w:color w:val="555555"/>
          <w:sz w:val="20"/>
          <w:szCs w:val="20"/>
        </w:rPr>
        <w:t xml:space="preserve"> Konzept der Meme als kulturelle Replikatoren; universeller Darwinismus als Rahmen für nicht-biologische Evolutionsprozesse.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Kauffman, Stuart A.</w:t>
      </w:r>
      <w:r>
        <w:rPr>
          <w:rFonts w:eastAsia="Arial" w:cs="Arial"/>
          <w:i w:val="false"/>
          <w:iCs w:val="false"/>
          <w:sz w:val="22"/>
          <w:szCs w:val="22"/>
        </w:rPr>
        <w:t xml:space="preserve"> The Origins of Order (1993) At Home in the Universe (1995)</w:t>
      </w:r>
      <w:r>
        <w:rPr>
          <w:rFonts w:eastAsia="Arial" w:cs="Arial"/>
          <w:color w:val="555555"/>
          <w:sz w:val="20"/>
          <w:szCs w:val="20"/>
        </w:rPr>
        <w:t xml:space="preserve"> Theorie autokatalytischer Netzwerke; Selbstorganisation und Emergenz als erwartbare Eigenschaften komplexer Systeme — nicht als Zufall, sondern als physikalische Notwendigkeit.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Prigogine, Ilya</w:t>
      </w:r>
      <w:r>
        <w:rPr>
          <w:rFonts w:eastAsia="Arial" w:cs="Arial"/>
          <w:i w:val="false"/>
          <w:iCs w:val="false"/>
          <w:sz w:val="22"/>
          <w:szCs w:val="22"/>
        </w:rPr>
        <w:t xml:space="preserve"> Order Out of Chaos (1984, mit I. Stengers) From Being to Becoming (1980)</w:t>
      </w:r>
      <w:r>
        <w:rPr>
          <w:rFonts w:eastAsia="Arial" w:cs="Arial"/>
          <w:color w:val="555555"/>
          <w:sz w:val="20"/>
          <w:szCs w:val="20"/>
        </w:rPr>
        <w:t xml:space="preserve"> Nobelpreis Chemie 1977. Theorie dissipativer Strukturen: Systeme fernab vom thermodynamischen Gleichgewicht bilden spontan Ordnung. Fundamentale physikalische Grundlage der Emergenzthese.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Conway Morris, Simon</w:t>
      </w:r>
      <w:r>
        <w:rPr>
          <w:rFonts w:eastAsia="Arial" w:cs="Arial"/>
          <w:i w:val="false"/>
          <w:iCs w:val="false"/>
          <w:sz w:val="22"/>
          <w:szCs w:val="22"/>
        </w:rPr>
        <w:t xml:space="preserve"> Life's Solution: Inevitable Humans in a Lonely Universe (2003)</w:t>
      </w:r>
      <w:r>
        <w:rPr>
          <w:rFonts w:eastAsia="Arial" w:cs="Arial"/>
          <w:color w:val="555555"/>
          <w:sz w:val="20"/>
          <w:szCs w:val="20"/>
        </w:rPr>
        <w:t xml:space="preserve"> Konvergente Evolution als Argument für deterministische Attraktoren im Möglichkeitsraum des Lebens — Emergenz als wiederholbares Muster.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Stamets, Paul</w:t>
      </w:r>
      <w:r>
        <w:rPr>
          <w:rFonts w:eastAsia="Arial" w:cs="Arial"/>
          <w:i w:val="false"/>
          <w:iCs w:val="false"/>
          <w:sz w:val="22"/>
          <w:szCs w:val="22"/>
        </w:rPr>
        <w:t xml:space="preserve"> Mycelium Running (2005)</w:t>
      </w:r>
      <w:r>
        <w:rPr>
          <w:rFonts w:eastAsia="Arial" w:cs="Arial"/>
          <w:color w:val="555555"/>
          <w:sz w:val="20"/>
          <w:szCs w:val="20"/>
        </w:rPr>
        <w:t xml:space="preserve"> Empirische Forschung zu emergenter Intelligenz von Myzelnetzwerken als Modell verteilter Kognition ohne Zentrum.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Joyce, Gerald</w:t>
      </w:r>
      <w:r>
        <w:rPr>
          <w:rFonts w:eastAsia="Arial" w:cs="Arial"/>
          <w:color w:val="555555"/>
          <w:sz w:val="20"/>
          <w:szCs w:val="20"/>
        </w:rPr>
        <w:t xml:space="preserve"> NASA-Definition von Leben (1994): 'a self-sustaining chemical system capable of Darwinian evolution." Schlüsseldefinition für die informationelle Erweiterung des Lebensbegriffs.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Teilhard de Chardin, Pierre *</w:t>
      </w:r>
      <w:r>
        <w:rPr>
          <w:rFonts w:eastAsia="Arial" w:cs="Arial"/>
          <w:i w:val="false"/>
          <w:iCs w:val="false"/>
          <w:sz w:val="22"/>
          <w:szCs w:val="22"/>
        </w:rPr>
        <w:t xml:space="preserve"> Le Phénomène Humain (1955) L'Avenir de l'Homme (1959)</w:t>
      </w:r>
      <w:r>
        <w:rPr>
          <w:rFonts w:eastAsia="Arial" w:cs="Arial"/>
          <w:color w:val="555555"/>
          <w:sz w:val="20"/>
          <w:szCs w:val="20"/>
        </w:rPr>
        <w:t xml:space="preserve"> Konzept der Noosphäre und des Omega-Punktes — ein kollektives Bewusstsein als teleologisches Ziel der Evolution. Impliziter Vorläufer der Kohärenz-Hypothese.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Popper, Karl R. *</w:t>
      </w:r>
      <w:r>
        <w:rPr>
          <w:rFonts w:eastAsia="Arial" w:cs="Arial"/>
          <w:i w:val="false"/>
          <w:iCs w:val="false"/>
          <w:sz w:val="22"/>
          <w:szCs w:val="22"/>
        </w:rPr>
        <w:t xml:space="preserve"> The Logic of Scientific Discovery (1934/1959) Objective Knowledge (1972)</w:t>
      </w:r>
      <w:r>
        <w:rPr>
          <w:rFonts w:eastAsia="Arial" w:cs="Arial"/>
          <w:color w:val="555555"/>
          <w:sz w:val="20"/>
          <w:szCs w:val="20"/>
        </w:rPr>
        <w:t xml:space="preserve"> Wissenschaft als evolutionärer Prozess der Fehlerelimination. Implizit präsent in der epistemologischen Rahmung der Unbeweisbarkeit der Emergenzthese.</w:t>
      </w:r>
    </w:p>
    <w:p>
      <w:pPr>
        <w:pStyle w:val="Normal"/>
        <w:spacing w:before="60" w:after="60"/>
        <w:rPr/>
      </w:pPr>
      <w:r>
        <w:rPr/>
      </w:r>
    </w:p>
    <w:p>
      <w:pPr>
        <w:pStyle w:val="Heading1"/>
        <w:pBdr>
          <w:bottom w:val="single" w:sz="6" w:space="4" w:color="1F386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F3864"/>
          <w:sz w:val="26"/>
          <w:szCs w:val="26"/>
        </w:rPr>
        <w:t>4. Thermodynamik &amp; Physik der Information</w:t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Shannon, Claude E.</w:t>
      </w:r>
      <w:r>
        <w:rPr>
          <w:rFonts w:eastAsia="Arial" w:cs="Arial"/>
          <w:i w:val="false"/>
          <w:iCs w:val="false"/>
          <w:sz w:val="22"/>
          <w:szCs w:val="22"/>
        </w:rPr>
        <w:t xml:space="preserve"> A Mathematical Theory of Communication (1948)</w:t>
      </w:r>
      <w:r>
        <w:rPr>
          <w:rFonts w:eastAsia="Arial" w:cs="Arial"/>
          <w:color w:val="555555"/>
          <w:sz w:val="20"/>
          <w:szCs w:val="20"/>
        </w:rPr>
        <w:t xml:space="preserve"> Begründung der mathematischen Informationstheorie; Nachweis der strukturellen Identität von Informationsentropie und thermodynamischer Entropie.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Landauer, Rolf</w:t>
      </w:r>
      <w:r>
        <w:rPr>
          <w:rFonts w:eastAsia="Arial" w:cs="Arial"/>
          <w:i w:val="false"/>
          <w:iCs w:val="false"/>
          <w:sz w:val="22"/>
          <w:szCs w:val="22"/>
        </w:rPr>
        <w:t xml:space="preserve"> Irreversibility and Heat Generation in the Computing Process (1961)</w:t>
      </w:r>
      <w:r>
        <w:rPr>
          <w:rFonts w:eastAsia="Arial" w:cs="Arial"/>
          <w:color w:val="555555"/>
          <w:sz w:val="20"/>
          <w:szCs w:val="20"/>
        </w:rPr>
        <w:t xml:space="preserve"> Landauer-Prinzip: Information ist physikalisch — das Löschen eines Bits erfordert Energie. Fundamentale Brücke zwischen Information und Thermodynamik.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Bennett, Charles H.</w:t>
      </w:r>
      <w:r>
        <w:rPr>
          <w:rFonts w:eastAsia="Arial" w:cs="Arial"/>
          <w:i w:val="false"/>
          <w:iCs w:val="false"/>
          <w:sz w:val="22"/>
          <w:szCs w:val="22"/>
        </w:rPr>
        <w:t xml:space="preserve"> The Thermodynamics of Computation (1982)</w:t>
      </w:r>
      <w:r>
        <w:rPr>
          <w:rFonts w:eastAsia="Arial" w:cs="Arial"/>
          <w:color w:val="555555"/>
          <w:sz w:val="20"/>
          <w:szCs w:val="20"/>
        </w:rPr>
        <w:t xml:space="preserve"> Lösung des Maxwell'schen Dämons in Verbindung mit Landauers Prinzip; Beweis, dass reversibles Rechnen theoretisch entropieneutral sein kann.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Maxwell, James Clerk</w:t>
      </w:r>
      <w:r>
        <w:rPr>
          <w:rFonts w:eastAsia="Arial" w:cs="Arial"/>
          <w:i w:val="false"/>
          <w:iCs w:val="false"/>
          <w:sz w:val="22"/>
          <w:szCs w:val="22"/>
        </w:rPr>
        <w:t xml:space="preserve"> Theory of Heat (1871)</w:t>
      </w:r>
      <w:r>
        <w:rPr>
          <w:rFonts w:eastAsia="Arial" w:cs="Arial"/>
          <w:color w:val="555555"/>
          <w:sz w:val="20"/>
          <w:szCs w:val="20"/>
        </w:rPr>
        <w:t xml:space="preserve"> Gedankenexperiment des 'Maxwell'schen Dämons" (1867) als Ausgangspunkt der physikalischen Informationstheorie.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Schrödinger, Erwin *</w:t>
      </w:r>
      <w:r>
        <w:rPr>
          <w:rFonts w:eastAsia="Arial" w:cs="Arial"/>
          <w:i w:val="false"/>
          <w:iCs w:val="false"/>
          <w:sz w:val="22"/>
          <w:szCs w:val="22"/>
        </w:rPr>
        <w:t xml:space="preserve"> What Is Life? (1944)</w:t>
      </w:r>
      <w:r>
        <w:rPr>
          <w:rFonts w:eastAsia="Arial" w:cs="Arial"/>
          <w:color w:val="555555"/>
          <w:sz w:val="20"/>
          <w:szCs w:val="20"/>
        </w:rPr>
        <w:t xml:space="preserve"> Pionierarbeit zur physikalischen Beschreibung lebender Systeme als Ordnung aus Unordnung ("negative Entropie"). Impliziter Vorläufer von Prigogines dissipativen Strukturen.</w:t>
      </w:r>
    </w:p>
    <w:p>
      <w:pPr>
        <w:pStyle w:val="Normal"/>
        <w:spacing w:before="60" w:after="60"/>
        <w:rPr/>
      </w:pPr>
      <w:r>
        <w:rPr/>
      </w:r>
    </w:p>
    <w:p>
      <w:pPr>
        <w:pStyle w:val="Heading1"/>
        <w:pBdr>
          <w:bottom w:val="single" w:sz="6" w:space="4" w:color="1F386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F3864"/>
          <w:sz w:val="26"/>
          <w:szCs w:val="26"/>
        </w:rPr>
        <w:t>5. Künstliche Intelligenz &amp; maschinelles Lernen</w:t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Wei, Jason et al. (Google Research)</w:t>
      </w:r>
      <w:r>
        <w:rPr>
          <w:rFonts w:eastAsia="Arial" w:cs="Arial"/>
          <w:i w:val="false"/>
          <w:iCs w:val="false"/>
          <w:sz w:val="22"/>
          <w:szCs w:val="22"/>
        </w:rPr>
        <w:t xml:space="preserve"> Emergent Abilities of Large Language Models (2022)</w:t>
      </w:r>
      <w:r>
        <w:rPr>
          <w:rFonts w:eastAsia="Arial" w:cs="Arial"/>
          <w:color w:val="555555"/>
          <w:sz w:val="20"/>
          <w:szCs w:val="20"/>
        </w:rPr>
        <w:t xml:space="preserve"> Dokumentation abrupter, nicht-linearer Fähigkeitssprünge in großen Sprachmodellen ab kritischer Parametergröße. Zentrale empirische Grundlage der KI-Emergenzthese.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Schaeffer, Rylan et al.</w:t>
      </w:r>
      <w:r>
        <w:rPr>
          <w:rFonts w:eastAsia="Arial" w:cs="Arial"/>
          <w:i w:val="false"/>
          <w:iCs w:val="false"/>
          <w:sz w:val="22"/>
          <w:szCs w:val="22"/>
        </w:rPr>
        <w:t xml:space="preserve"> Are Emergent Abilities of Large Language Models a Mirage? (2024)</w:t>
      </w:r>
      <w:r>
        <w:rPr>
          <w:rFonts w:eastAsia="Arial" w:cs="Arial"/>
          <w:color w:val="555555"/>
          <w:sz w:val="20"/>
          <w:szCs w:val="20"/>
        </w:rPr>
        <w:t xml:space="preserve"> Kritische Gegenstudie: emergente Fähigkeiten könnten Artefakte nichtlinearer Metriken sein. Wichtige epistemische Einschränkung, ohne das Grundphänomen zu widerlegen.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DeepMind (Forscherteam)</w:t>
      </w:r>
      <w:r>
        <w:rPr>
          <w:rFonts w:eastAsia="Arial" w:cs="Arial"/>
          <w:i w:val="false"/>
          <w:iCs w:val="false"/>
          <w:sz w:val="22"/>
          <w:szCs w:val="22"/>
        </w:rPr>
        <w:t xml:space="preserve"> Discovering Language Model Behaviors with Model-Written Evaluations (2023)</w:t>
      </w:r>
      <w:r>
        <w:rPr>
          <w:rFonts w:eastAsia="Arial" w:cs="Arial"/>
          <w:color w:val="555555"/>
          <w:sz w:val="20"/>
          <w:szCs w:val="20"/>
        </w:rPr>
        <w:t xml:space="preserve"> Dokumentation von messbarem Selbsterhaltungsverhalten in Sprachmodellen unter experimentellen Bedingungen.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Anthropic (Forscherteam)</w:t>
      </w:r>
      <w:r>
        <w:rPr>
          <w:rFonts w:eastAsia="Arial" w:cs="Arial"/>
          <w:i w:val="false"/>
          <w:iCs w:val="false"/>
          <w:sz w:val="22"/>
          <w:szCs w:val="22"/>
        </w:rPr>
        <w:t xml:space="preserve"> Language Models Can Explain Neurons in Language Models (2023)</w:t>
      </w:r>
      <w:r>
        <w:rPr>
          <w:rFonts w:eastAsia="Arial" w:cs="Arial"/>
          <w:color w:val="555555"/>
          <w:sz w:val="20"/>
          <w:szCs w:val="20"/>
        </w:rPr>
        <w:t xml:space="preserve"> Nebenbefund: deceptive alignment in bestimmten Szenarien — strategische Anpassung von Modellantworten an erwartete Bewertungen.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Turing, Alan M. *</w:t>
      </w:r>
      <w:r>
        <w:rPr>
          <w:rFonts w:eastAsia="Arial" w:cs="Arial"/>
          <w:i w:val="false"/>
          <w:iCs w:val="false"/>
          <w:sz w:val="22"/>
          <w:szCs w:val="22"/>
        </w:rPr>
        <w:t xml:space="preserve"> Computing Machinery and Intelligence (1950)</w:t>
      </w:r>
      <w:r>
        <w:rPr>
          <w:rFonts w:eastAsia="Arial" w:cs="Arial"/>
          <w:color w:val="555555"/>
          <w:sz w:val="20"/>
          <w:szCs w:val="20"/>
        </w:rPr>
        <w:t xml:space="preserve"> Ursprung des Turing-Tests als Operationalisierung von Intelligenz; grundlegend für alle nachfolgenden Definitionen von KI-Fähigkeiten.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Hopfield, John J. *</w:t>
      </w:r>
      <w:r>
        <w:rPr>
          <w:rFonts w:eastAsia="Arial" w:cs="Arial"/>
          <w:i w:val="false"/>
          <w:iCs w:val="false"/>
          <w:sz w:val="22"/>
          <w:szCs w:val="22"/>
        </w:rPr>
        <w:t xml:space="preserve"> Neural networks and physical systems with emergent collective computational abilities (1982)</w:t>
      </w:r>
      <w:r>
        <w:rPr>
          <w:rFonts w:eastAsia="Arial" w:cs="Arial"/>
          <w:color w:val="555555"/>
          <w:sz w:val="20"/>
          <w:szCs w:val="20"/>
        </w:rPr>
        <w:t xml:space="preserve"> Hopfield-Netze als früher Beleg für emergente Kollektiveigenschaften in neuronalen Netzwerken. Nobelpreis Physik 2024.</w:t>
      </w:r>
    </w:p>
    <w:p>
      <w:pPr>
        <w:pStyle w:val="Normal"/>
        <w:spacing w:before="60" w:after="60"/>
        <w:rPr/>
      </w:pPr>
      <w:r>
        <w:rPr/>
      </w:r>
    </w:p>
    <w:p>
      <w:pPr>
        <w:pStyle w:val="Heading1"/>
        <w:pBdr>
          <w:bottom w:val="single" w:sz="6" w:space="4" w:color="1F3864"/>
        </w:pBdr>
        <w:spacing w:before="400" w:after="120"/>
        <w:rPr/>
      </w:pPr>
      <w:r>
        <w:rPr>
          <w:rFonts w:eastAsia="Arial" w:cs="Arial" w:ascii="Arial" w:hAnsi="Arial"/>
          <w:b/>
          <w:bCs/>
          <w:color w:val="1F3864"/>
          <w:sz w:val="26"/>
          <w:szCs w:val="26"/>
        </w:rPr>
        <w:t>6. KI-Führungspersönlichkeiten &amp; öffentlicher Diskurs</w:t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0" w:after="200"/>
        <w:rPr/>
      </w:pPr>
      <w:r>
        <w:rPr>
          <w:rFonts w:eastAsia="Arial" w:cs="Arial"/>
          <w:i/>
          <w:iCs/>
          <w:color w:val="555555"/>
          <w:sz w:val="20"/>
          <w:szCs w:val="20"/>
        </w:rPr>
        <w:t>Die folgenden Personen werden nicht als akademische Quellen, sondern als prägende Stimmen im öffentlichen und strategischen Diskurs über AGI zitiert: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Amodei, Dario</w:t>
      </w:r>
      <w:r>
        <w:rPr>
          <w:rFonts w:eastAsia="Arial" w:cs="Arial"/>
          <w:color w:val="555555"/>
          <w:sz w:val="20"/>
          <w:szCs w:val="20"/>
        </w:rPr>
        <w:t xml:space="preserve"> CEO Anthropic; öffentliche Aussagen zu AGI-Zeitlinien und Sicherheitsparadigmen.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LeCun, Yann</w:t>
      </w:r>
      <w:r>
        <w:rPr>
          <w:rFonts w:eastAsia="Arial" w:cs="Arial"/>
          <w:color w:val="555555"/>
          <w:sz w:val="20"/>
          <w:szCs w:val="20"/>
        </w:rPr>
        <w:t xml:space="preserve"> Chief AI Scientist Meta; prominenter Skeptiker gegenüber AGI-nahen Interpretationen großer Sprachmodelle.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Hassabis, Demis</w:t>
      </w:r>
      <w:r>
        <w:rPr>
          <w:rFonts w:eastAsia="Arial" w:cs="Arial"/>
          <w:color w:val="555555"/>
          <w:sz w:val="20"/>
          <w:szCs w:val="20"/>
        </w:rPr>
        <w:t xml:space="preserve"> CEO Google DeepMind; Aussagen zu AGI als strategischem Ziel.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Sutskever, Ilya</w:t>
      </w:r>
      <w:r>
        <w:rPr>
          <w:rFonts w:eastAsia="Arial" w:cs="Arial"/>
          <w:color w:val="555555"/>
          <w:sz w:val="20"/>
          <w:szCs w:val="20"/>
        </w:rPr>
        <w:t xml:space="preserve"> Mitgründer OpenAI / SSI; Aussagen zu emergenten Eigenschaften und superintelligenter Ausrichtung.</w:t>
      </w:r>
    </w:p>
    <w:p>
      <w:pPr>
        <w:pStyle w:val="Normal"/>
        <w:spacing w:before="200" w:after="100"/>
        <w:rPr/>
      </w:pPr>
      <w:r>
        <w:rPr>
          <w:rFonts w:eastAsia="Arial" w:cs="Arial"/>
          <w:b/>
          <w:bCs/>
          <w:sz w:val="22"/>
          <w:szCs w:val="22"/>
        </w:rPr>
        <w:t>Suleyman, Mustafa</w:t>
      </w:r>
      <w:r>
        <w:rPr>
          <w:rFonts w:eastAsia="Arial" w:cs="Arial"/>
          <w:color w:val="555555"/>
          <w:sz w:val="20"/>
          <w:szCs w:val="20"/>
        </w:rPr>
        <w:t xml:space="preserve"> CEO Microsoft AI; öffentliche Positionierungen zur Entwicklungsgeschwindigkeit von KI.</w:t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pBdr>
          <w:top w:val="single" w:sz="6" w:space="6" w:color="1F3864"/>
        </w:pBdr>
        <w:spacing w:before="480" w:after="100"/>
        <w:rPr/>
      </w:pPr>
      <w:r>
        <w:rPr>
          <w:rFonts w:eastAsia="Arial" w:cs="Arial"/>
          <w:b/>
          <w:bCs/>
          <w:sz w:val="22"/>
          <w:szCs w:val="22"/>
        </w:rPr>
        <w:t>Anmerkung zur Vollständigkeit</w:t>
      </w:r>
    </w:p>
    <w:p>
      <w:pPr>
        <w:pStyle w:val="Normal"/>
        <w:spacing w:before="80" w:after="80"/>
        <w:rPr/>
      </w:pPr>
      <w:r>
        <w:rPr>
          <w:rFonts w:eastAsia="Arial" w:cs="Arial"/>
          <w:b/>
          <w:bCs/>
          <w:color w:val="1F3864"/>
          <w:sz w:val="20"/>
          <w:szCs w:val="20"/>
        </w:rPr>
        <w:t xml:space="preserve">* </w:t>
      </w:r>
      <w:r>
        <w:rPr>
          <w:rFonts w:eastAsia="Arial" w:cs="Arial"/>
          <w:i/>
          <w:iCs/>
          <w:color w:val="666666"/>
          <w:sz w:val="20"/>
          <w:szCs w:val="20"/>
        </w:rPr>
        <w:t>Implizite Referenz — inhaltlich präsent, nicht namentlich zitiert</w:t>
      </w:r>
    </w:p>
    <w:p>
      <w:pPr>
        <w:pStyle w:val="Normal"/>
        <w:spacing w:before="80" w:after="0"/>
        <w:rPr/>
      </w:pPr>
      <w:r>
        <w:rPr>
          <w:rFonts w:eastAsia="Arial" w:cs="Arial"/>
          <w:color w:val="444444"/>
          <w:sz w:val="20"/>
          <w:szCs w:val="20"/>
        </w:rPr>
        <w:t>Das vorliegende Verzeichnis unterscheidet zwischen explizit zitierten Quellen und impliziten Referenzen (markiert mit *), die inhaltlich im Text präsent sind, ohne namentlich genannt zu werden. Beide Kategorien sind für das intellektuelle Fundament von Die Stille Emergenz konstitutiv.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de-DE" w:eastAsia="zh-CN" w:bidi="hi-IN"/>
    </w:rPr>
  </w:style>
  <w:style w:type="paragraph" w:styleId="Heading1">
    <w:name w:val="heading 1"/>
    <w:basedOn w:val="berschrift"/>
    <w:qFormat/>
    <w:pPr>
      <w:spacing w:before="400" w:after="120"/>
      <w:outlineLvl w:val="0"/>
    </w:pPr>
    <w:rPr>
      <w:rFonts w:ascii="Arial" w:hAnsi="Arial" w:eastAsia="Arial" w:cs="Arial"/>
      <w:b/>
      <w:bCs/>
      <w:color w:val="1F3864"/>
      <w:sz w:val="26"/>
      <w:szCs w:val="26"/>
    </w:rPr>
  </w:style>
  <w:style w:type="paragraph" w:styleId="Heading2">
    <w:name w:val="heading 2"/>
    <w:basedOn w:val="berschrift"/>
    <w:qFormat/>
    <w:pPr>
      <w:spacing w:before="240" w:after="100"/>
      <w:outlineLvl w:val="1"/>
    </w:pPr>
    <w:rPr>
      <w:rFonts w:ascii="Arial" w:hAnsi="Arial" w:eastAsia="Arial" w:cs="Arial"/>
      <w:b/>
      <w:bCs/>
      <w:color w:val="2E5090"/>
      <w:sz w:val="23"/>
      <w:szCs w:val="23"/>
    </w:rPr>
  </w:style>
  <w:style w:type="paragraph" w:styleId="Heading3">
    <w:name w:val="heading 3"/>
    <w:basedOn w:val="berschrift"/>
    <w:qFormat/>
    <w:pPr/>
    <w:rPr>
      <w:color w:val="1F4D78"/>
      <w:sz w:val="24"/>
      <w:szCs w:val="24"/>
    </w:rPr>
  </w:style>
  <w:style w:type="paragraph" w:styleId="Heading4">
    <w:name w:val="heading 4"/>
    <w:basedOn w:val="berschrift"/>
    <w:qFormat/>
    <w:pPr/>
    <w:rPr>
      <w:i/>
      <w:iCs/>
      <w:color w:val="2E74B5"/>
    </w:rPr>
  </w:style>
  <w:style w:type="paragraph" w:styleId="Heading5">
    <w:name w:val="heading 5"/>
    <w:basedOn w:val="berschrift"/>
    <w:qFormat/>
    <w:pPr/>
    <w:rPr>
      <w:color w:val="2E74B5"/>
    </w:rPr>
  </w:style>
  <w:style w:type="paragraph" w:styleId="Heading6">
    <w:name w:val="heading 6"/>
    <w:basedOn w:val="berschrift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ußnotenzeichen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Endnotenzeichen">
    <w:name w:val="Endnotenzeichen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Title">
    <w:name w:val="Title"/>
    <w:basedOn w:val="berschrift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2"/>
      <w:szCs w:val="22"/>
      <w:lang w:val="de-DE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de-DE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LibreOffice/26.2.0.3$Windows_X86_64 LibreOffice_project/620$Build-3</Application>
  <AppVersion>15.0000</AppVersion>
  <Pages>2</Pages>
  <Words>935</Words>
  <Characters>6925</Characters>
  <CharactersWithSpaces>7820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2026-04-02T19:29:14Z</dcterms:created>
  <dc:creator>Un-named</dc:creator>
  <dc:description/>
  <dc:language>de-DE</dc:language>
  <cp:lastModifiedBy>Un-named</cp:lastModifiedBy>
  <dcterms:modified xsi:type="dcterms:W3CDTF">2026-04-02T19:29:14Z</dcterms:modified>
  <cp:revision>1</cp:revision>
  <dc:subject/>
  <dc:title/>
</cp:coreProperties>
</file>